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96E0F" w14:textId="77777777" w:rsidR="006327E7" w:rsidRPr="00002955" w:rsidRDefault="006327E7" w:rsidP="006327E7">
      <w:pPr>
        <w:tabs>
          <w:tab w:val="left" w:pos="2210"/>
        </w:tabs>
        <w:bidi/>
        <w:rPr>
          <w:rFonts w:ascii="Sakkal Majalla" w:hAnsi="Sakkal Majalla" w:cs="Sakkal Majalla"/>
          <w:bCs/>
          <w:sz w:val="44"/>
          <w:szCs w:val="44"/>
          <w:rtl/>
        </w:rPr>
      </w:pPr>
      <w:proofErr w:type="gramStart"/>
      <w:r w:rsidRPr="00002955">
        <w:rPr>
          <w:rFonts w:ascii="Sakkal Majalla" w:hAnsi="Sakkal Majalla" w:cs="Sakkal Majalla" w:hint="cs"/>
          <w:bCs/>
          <w:sz w:val="44"/>
          <w:szCs w:val="44"/>
          <w:rtl/>
        </w:rPr>
        <w:t>خطة</w:t>
      </w:r>
      <w:proofErr w:type="gramEnd"/>
      <w:r>
        <w:rPr>
          <w:rFonts w:ascii="Sakkal Majalla" w:hAnsi="Sakkal Majalla" w:cs="Sakkal Majalla" w:hint="cs"/>
          <w:bCs/>
          <w:sz w:val="44"/>
          <w:szCs w:val="44"/>
          <w:rtl/>
        </w:rPr>
        <w:t xml:space="preserve"> </w:t>
      </w:r>
      <w:r w:rsidRPr="00002955">
        <w:rPr>
          <w:rFonts w:ascii="Sakkal Majalla" w:hAnsi="Sakkal Majalla" w:cs="Sakkal Majalla" w:hint="cs"/>
          <w:bCs/>
          <w:sz w:val="44"/>
          <w:szCs w:val="44"/>
          <w:rtl/>
        </w:rPr>
        <w:t>الدرس</w:t>
      </w:r>
      <w:r>
        <w:rPr>
          <w:rFonts w:ascii="Sakkal Majalla" w:hAnsi="Sakkal Majalla" w:cs="Sakkal Majalla"/>
          <w:bCs/>
          <w:sz w:val="44"/>
          <w:szCs w:val="44"/>
          <w:rtl/>
        </w:rPr>
        <w:tab/>
      </w:r>
    </w:p>
    <w:p w14:paraId="5F211280" w14:textId="6C672A1D" w:rsidR="006327E7" w:rsidRPr="006D7128" w:rsidRDefault="006327E7" w:rsidP="006327E7">
      <w:pPr>
        <w:bidi/>
        <w:rPr>
          <w:rFonts w:ascii="Verdana" w:hAnsi="Verdana"/>
        </w:rPr>
      </w:pPr>
      <w:r w:rsidRPr="001C1D18">
        <w:rPr>
          <w:rFonts w:ascii="Sakkal Majalla" w:hAnsi="Sakkal Majalla" w:cs="Sakkal Majalla" w:hint="cs"/>
          <w:sz w:val="28"/>
          <w:szCs w:val="28"/>
          <w:rtl/>
          <w:lang w:val="en-US"/>
        </w:rPr>
        <w:t xml:space="preserve">الحصة </w:t>
      </w:r>
      <w:r w:rsidRPr="00C915DF">
        <w:rPr>
          <w:rFonts w:ascii="Sakkal Majalla" w:hAnsi="Sakkal Majalla" w:cs="Sakkal Majalla"/>
          <w:sz w:val="28"/>
          <w:szCs w:val="28"/>
          <w:lang w:val="en-US"/>
        </w:rPr>
        <w:t>X.</w:t>
      </w:r>
      <w:proofErr w:type="gramStart"/>
      <w:r w:rsidRPr="00C915DF">
        <w:rPr>
          <w:rFonts w:ascii="Sakkal Majalla" w:hAnsi="Sakkal Majalla" w:cs="Sakkal Majalla"/>
          <w:sz w:val="28"/>
          <w:szCs w:val="28"/>
          <w:lang w:val="en-US"/>
        </w:rPr>
        <w:t xml:space="preserve">X.X </w:t>
      </w:r>
      <w:r w:rsidRPr="00C915DF">
        <w:rPr>
          <w:rFonts w:ascii="Sakkal Majalla" w:hAnsi="Sakkal Majalla" w:cs="Sakkal Majalla" w:hint="cs"/>
          <w:sz w:val="28"/>
          <w:szCs w:val="28"/>
          <w:rtl/>
          <w:lang w:val="en-US"/>
        </w:rPr>
        <w:t xml:space="preserve"> </w:t>
      </w:r>
      <w:r w:rsidRPr="001C1D18">
        <w:rPr>
          <w:rFonts w:ascii="Sakkal Majalla" w:hAnsi="Sakkal Majalla" w:cs="Sakkal Majalla" w:hint="cs"/>
          <w:sz w:val="28"/>
          <w:szCs w:val="28"/>
          <w:rtl/>
          <w:lang w:val="en-US"/>
        </w:rPr>
        <w:t>(</w:t>
      </w:r>
      <w:proofErr w:type="gramEnd"/>
      <w:r>
        <w:rPr>
          <w:rFonts w:ascii="Sakkal Majalla" w:hAnsi="Sakkal Majalla" w:cs="Sakkal Majalla" w:hint="cs"/>
          <w:sz w:val="28"/>
          <w:szCs w:val="28"/>
          <w:rtl/>
          <w:lang w:val="en-US"/>
        </w:rPr>
        <w:t>تحرير الطلبات</w:t>
      </w:r>
      <w:r w:rsidRPr="001C1D18">
        <w:rPr>
          <w:rFonts w:ascii="Sakkal Majalla" w:hAnsi="Sakkal Majalla" w:cs="Sakkal Majalla" w:hint="cs"/>
          <w:sz w:val="28"/>
          <w:szCs w:val="28"/>
          <w:rtl/>
          <w:lang w:val="en-US"/>
        </w:rPr>
        <w:t>)</w:t>
      </w:r>
    </w:p>
    <w:tbl>
      <w:tblPr>
        <w:tblStyle w:val="Grilledutableau"/>
        <w:bidiVisual/>
        <w:tblW w:w="0" w:type="auto"/>
        <w:tblLook w:val="04A0" w:firstRow="1" w:lastRow="0" w:firstColumn="1" w:lastColumn="0" w:noHBand="0" w:noVBand="1"/>
      </w:tblPr>
      <w:tblGrid>
        <w:gridCol w:w="1610"/>
        <w:gridCol w:w="4319"/>
        <w:gridCol w:w="2565"/>
      </w:tblGrid>
      <w:tr w:rsidR="006327E7" w:rsidRPr="006F1FAC" w14:paraId="4C364FFB" w14:textId="77777777" w:rsidTr="0081432C">
        <w:trPr>
          <w:trHeight w:val="872"/>
        </w:trPr>
        <w:tc>
          <w:tcPr>
            <w:tcW w:w="5929" w:type="dxa"/>
            <w:gridSpan w:val="2"/>
            <w:shd w:val="clear" w:color="auto" w:fill="DEEAF6" w:themeFill="accent5" w:themeFillTint="33"/>
            <w:vAlign w:val="center"/>
          </w:tcPr>
          <w:p w14:paraId="26EBC7D9" w14:textId="15C7804F" w:rsidR="006327E7" w:rsidRPr="006327E7" w:rsidRDefault="006327E7" w:rsidP="0081432C">
            <w:pPr>
              <w:bidi/>
              <w:rPr>
                <w:rFonts w:ascii="Sakkal Majalla" w:hAnsi="Sakkal Majalla" w:cs="Sakkal Majalla"/>
                <w:b/>
                <w:bCs/>
                <w:sz w:val="28"/>
                <w:szCs w:val="28"/>
                <w:lang w:bidi="ar-SY"/>
              </w:rPr>
            </w:pPr>
            <w:r w:rsidRPr="006327E7">
              <w:rPr>
                <w:rFonts w:ascii="Sakkal Majalla" w:hAnsi="Sakkal Majalla" w:cs="Sakkal Majalla" w:hint="cs"/>
                <w:b/>
                <w:bCs/>
                <w:sz w:val="28"/>
                <w:szCs w:val="28"/>
                <w:rtl/>
                <w:lang w:val="en-US"/>
              </w:rPr>
              <w:t xml:space="preserve">الحصة </w:t>
            </w:r>
            <w:r w:rsidRPr="006327E7">
              <w:rPr>
                <w:rFonts w:ascii="Sakkal Majalla" w:hAnsi="Sakkal Majalla" w:cs="Sakkal Majalla"/>
                <w:b/>
                <w:bCs/>
                <w:sz w:val="28"/>
                <w:szCs w:val="28"/>
                <w:lang w:val="en-US"/>
              </w:rPr>
              <w:t xml:space="preserve">X.X.X </w:t>
            </w:r>
            <w:r w:rsidRPr="006327E7">
              <w:rPr>
                <w:rFonts w:ascii="Sakkal Majalla" w:hAnsi="Sakkal Majalla" w:cs="Sakkal Majalla" w:hint="cs"/>
                <w:b/>
                <w:bCs/>
                <w:sz w:val="28"/>
                <w:szCs w:val="28"/>
                <w:rtl/>
                <w:lang w:val="en-US"/>
              </w:rPr>
              <w:t xml:space="preserve"> (تحرير الطلبات)</w:t>
            </w:r>
            <w:r w:rsidRPr="006327E7">
              <w:rPr>
                <w:rFonts w:ascii="Sakkal Majalla" w:hAnsi="Sakkal Majalla" w:cs="Sakkal Majalla" w:hint="cs"/>
                <w:b/>
                <w:bCs/>
                <w:sz w:val="28"/>
                <w:szCs w:val="28"/>
                <w:rtl/>
                <w:lang w:bidi="ar-SY"/>
              </w:rPr>
              <w:t xml:space="preserve"> </w:t>
            </w:r>
          </w:p>
        </w:tc>
        <w:tc>
          <w:tcPr>
            <w:tcW w:w="2565" w:type="dxa"/>
            <w:shd w:val="clear" w:color="auto" w:fill="DEEAF6" w:themeFill="accent5" w:themeFillTint="33"/>
            <w:vAlign w:val="center"/>
          </w:tcPr>
          <w:p w14:paraId="3E5E8C3A" w14:textId="79AE9CC0" w:rsidR="006327E7" w:rsidRPr="00C0224F" w:rsidRDefault="006327E7" w:rsidP="006327E7">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w:t>
            </w:r>
            <w:r>
              <w:rPr>
                <w:rFonts w:ascii="Sakkal Majalla" w:hAnsi="Sakkal Majalla" w:cs="Sakkal Majalla" w:hint="cs"/>
                <w:b/>
                <w:bCs/>
                <w:sz w:val="28"/>
                <w:szCs w:val="28"/>
                <w:rtl/>
              </w:rPr>
              <w:t>120</w:t>
            </w:r>
            <w:r>
              <w:rPr>
                <w:rFonts w:ascii="Sakkal Majalla" w:hAnsi="Sakkal Majalla" w:cs="Sakkal Majalla" w:hint="cs"/>
                <w:b/>
                <w:bCs/>
                <w:sz w:val="28"/>
                <w:szCs w:val="28"/>
                <w:rtl/>
              </w:rPr>
              <w:t xml:space="preserve"> </w:t>
            </w:r>
            <w:proofErr w:type="gramStart"/>
            <w:r>
              <w:rPr>
                <w:rFonts w:ascii="Sakkal Majalla" w:hAnsi="Sakkal Majalla" w:cs="Sakkal Majalla" w:hint="cs"/>
                <w:b/>
                <w:bCs/>
                <w:sz w:val="28"/>
                <w:szCs w:val="28"/>
                <w:rtl/>
              </w:rPr>
              <w:t>دقيقة</w:t>
            </w:r>
            <w:proofErr w:type="gramEnd"/>
          </w:p>
        </w:tc>
      </w:tr>
      <w:tr w:rsidR="006327E7" w:rsidRPr="006F1FAC" w14:paraId="54FFB5BC" w14:textId="77777777" w:rsidTr="0081432C">
        <w:trPr>
          <w:trHeight w:val="1943"/>
        </w:trPr>
        <w:tc>
          <w:tcPr>
            <w:tcW w:w="8494" w:type="dxa"/>
            <w:gridSpan w:val="3"/>
            <w:vAlign w:val="center"/>
          </w:tcPr>
          <w:p w14:paraId="5AA731E4" w14:textId="77777777" w:rsidR="006327E7" w:rsidRPr="006F1FAC" w:rsidRDefault="006327E7" w:rsidP="0081432C">
            <w:pPr>
              <w:bidi/>
              <w:rPr>
                <w:rFonts w:ascii="Sakkal Majalla" w:hAnsi="Sakkal Majalla" w:cs="Sakkal Majalla"/>
                <w:b/>
                <w:bCs/>
                <w:rtl/>
                <w:lang w:val="en-US" w:bidi="ar-SY"/>
              </w:rPr>
            </w:pPr>
            <w:proofErr w:type="gramStart"/>
            <w:r w:rsidRPr="006F1FAC">
              <w:rPr>
                <w:rFonts w:ascii="Sakkal Majalla" w:hAnsi="Sakkal Majalla" w:cs="Sakkal Majalla"/>
                <w:b/>
                <w:bCs/>
                <w:rtl/>
                <w:lang w:val="en-US"/>
              </w:rPr>
              <w:t>الموارد</w:t>
            </w:r>
            <w:proofErr w:type="gramEnd"/>
            <w:r w:rsidRPr="006F1FAC">
              <w:rPr>
                <w:rFonts w:ascii="Sakkal Majalla" w:hAnsi="Sakkal Majalla" w:cs="Sakkal Majalla"/>
                <w:b/>
                <w:bCs/>
                <w:rtl/>
                <w:lang w:val="en-US"/>
              </w:rPr>
              <w:t xml:space="preserve"> المطلوبة</w:t>
            </w:r>
            <w:r w:rsidRPr="006F1FAC">
              <w:rPr>
                <w:rFonts w:ascii="Sakkal Majalla" w:hAnsi="Sakkal Majalla" w:cs="Sakkal Majalla"/>
                <w:b/>
                <w:bCs/>
                <w:rtl/>
                <w:lang w:val="en-US" w:bidi="ar-SY"/>
              </w:rPr>
              <w:t>:</w:t>
            </w:r>
          </w:p>
          <w:p w14:paraId="5B31CC45" w14:textId="77777777" w:rsidR="006327E7" w:rsidRPr="006F1FAC" w:rsidRDefault="006327E7" w:rsidP="006327E7">
            <w:pPr>
              <w:pStyle w:val="Paragraphedeliste"/>
              <w:numPr>
                <w:ilvl w:val="0"/>
                <w:numId w:val="9"/>
              </w:numPr>
              <w:bidi/>
              <w:ind w:left="0" w:firstLine="0"/>
              <w:contextualSpacing w:val="0"/>
              <w:jc w:val="both"/>
              <w:rPr>
                <w:rFonts w:ascii="Sakkal Majalla" w:hAnsi="Sakkal Majalla" w:cs="Sakkal Majalla"/>
                <w:lang w:bidi="ar-SY"/>
              </w:rPr>
            </w:pPr>
            <w:r w:rsidRPr="006F1FAC">
              <w:rPr>
                <w:rFonts w:ascii="Sakkal Majalla" w:hAnsi="Sakkal Majalla" w:cs="Sakkal Majalla"/>
                <w:rtl/>
                <w:lang w:bidi="ar-SY"/>
              </w:rPr>
              <w:t xml:space="preserve">كمبيوتر شخصي / كمبيوتر محمول مزود بنسخ برمجيات متوافقة مع المعدات المجهزة </w:t>
            </w:r>
          </w:p>
          <w:p w14:paraId="2076681B" w14:textId="77777777" w:rsidR="006327E7" w:rsidRPr="006F1FAC" w:rsidRDefault="006327E7" w:rsidP="006327E7">
            <w:pPr>
              <w:pStyle w:val="Paragraphedeliste"/>
              <w:numPr>
                <w:ilvl w:val="0"/>
                <w:numId w:val="9"/>
              </w:numPr>
              <w:bidi/>
              <w:ind w:left="0" w:firstLine="0"/>
              <w:contextualSpacing w:val="0"/>
              <w:jc w:val="both"/>
              <w:rPr>
                <w:rFonts w:ascii="Sakkal Majalla" w:hAnsi="Sakkal Majalla" w:cs="Sakkal Majalla"/>
                <w:lang w:bidi="ar-SY"/>
              </w:rPr>
            </w:pPr>
            <w:proofErr w:type="gramStart"/>
            <w:r w:rsidRPr="006F1FAC">
              <w:rPr>
                <w:rFonts w:ascii="Sakkal Majalla" w:hAnsi="Sakkal Majalla" w:cs="Sakkal Majalla"/>
                <w:rtl/>
                <w:lang w:bidi="ar-SY"/>
              </w:rPr>
              <w:t>جهاز</w:t>
            </w:r>
            <w:proofErr w:type="gramEnd"/>
            <w:r w:rsidRPr="006F1FAC">
              <w:rPr>
                <w:rFonts w:ascii="Sakkal Majalla" w:hAnsi="Sakkal Majalla" w:cs="Sakkal Majalla"/>
                <w:rtl/>
                <w:lang w:bidi="ar-SY"/>
              </w:rPr>
              <w:t xml:space="preserve"> العرض وشاشة العرض.</w:t>
            </w:r>
          </w:p>
          <w:p w14:paraId="7984A301" w14:textId="77777777" w:rsidR="006327E7" w:rsidRPr="006F1FAC" w:rsidRDefault="006327E7" w:rsidP="006327E7">
            <w:pPr>
              <w:pStyle w:val="Paragraphedeliste"/>
              <w:numPr>
                <w:ilvl w:val="0"/>
                <w:numId w:val="9"/>
              </w:numPr>
              <w:bidi/>
              <w:ind w:left="0" w:firstLine="0"/>
              <w:contextualSpacing w:val="0"/>
              <w:jc w:val="both"/>
              <w:rPr>
                <w:rFonts w:ascii="Sakkal Majalla" w:hAnsi="Sakkal Majalla" w:cs="Sakkal Majalla"/>
                <w:lang w:bidi="ar-SY"/>
              </w:rPr>
            </w:pPr>
            <w:r w:rsidRPr="006F1FAC">
              <w:rPr>
                <w:rFonts w:ascii="Sakkal Majalla" w:hAnsi="Sakkal Majalla" w:cs="Sakkal Majalla"/>
                <w:rtl/>
              </w:rPr>
              <w:t>توصيلة الإنترنت (</w:t>
            </w:r>
            <w:proofErr w:type="gramStart"/>
            <w:r w:rsidRPr="006F1FAC">
              <w:rPr>
                <w:rFonts w:ascii="Sakkal Majalla" w:hAnsi="Sakkal Majalla" w:cs="Sakkal Majalla"/>
                <w:rtl/>
              </w:rPr>
              <w:t>إن</w:t>
            </w:r>
            <w:proofErr w:type="gramEnd"/>
            <w:r w:rsidRPr="006F1FAC">
              <w:rPr>
                <w:rFonts w:ascii="Sakkal Majalla" w:hAnsi="Sakkal Majalla" w:cs="Sakkal Majalla"/>
                <w:rtl/>
              </w:rPr>
              <w:t xml:space="preserve"> وجدت).</w:t>
            </w:r>
          </w:p>
          <w:p w14:paraId="706E5D57" w14:textId="77777777" w:rsidR="006327E7" w:rsidRPr="006F1FAC" w:rsidRDefault="006327E7" w:rsidP="006327E7">
            <w:pPr>
              <w:pStyle w:val="Paragraphedeliste"/>
              <w:numPr>
                <w:ilvl w:val="0"/>
                <w:numId w:val="9"/>
              </w:numPr>
              <w:bidi/>
              <w:ind w:left="0" w:firstLine="0"/>
              <w:contextualSpacing w:val="0"/>
              <w:jc w:val="both"/>
              <w:rPr>
                <w:rFonts w:ascii="Sakkal Majalla" w:hAnsi="Sakkal Majalla" w:cs="Sakkal Majalla"/>
                <w:lang w:bidi="ar-SY"/>
              </w:rPr>
            </w:pPr>
            <w:r w:rsidRPr="006F1FAC">
              <w:rPr>
                <w:rFonts w:ascii="Sakkal Majalla" w:hAnsi="Sakkal Majalla" w:cs="Sakkal Majalla"/>
                <w:rtl/>
                <w:lang w:bidi="ar-SY"/>
              </w:rPr>
              <w:t xml:space="preserve">دفاتر </w:t>
            </w:r>
            <w:proofErr w:type="gramStart"/>
            <w:r w:rsidRPr="006F1FAC">
              <w:rPr>
                <w:rFonts w:ascii="Sakkal Majalla" w:hAnsi="Sakkal Majalla" w:cs="Sakkal Majalla"/>
                <w:rtl/>
                <w:lang w:bidi="ar-SY"/>
              </w:rPr>
              <w:t>وأقلام</w:t>
            </w:r>
            <w:proofErr w:type="gramEnd"/>
            <w:r w:rsidRPr="006F1FAC">
              <w:rPr>
                <w:rFonts w:ascii="Sakkal Majalla" w:hAnsi="Sakkal Majalla" w:cs="Sakkal Majalla"/>
                <w:rtl/>
                <w:lang w:bidi="ar-SY"/>
              </w:rPr>
              <w:t xml:space="preserve"> للطلاب.</w:t>
            </w:r>
          </w:p>
        </w:tc>
      </w:tr>
      <w:tr w:rsidR="006327E7" w:rsidRPr="006F1FAC" w14:paraId="3F17ED03" w14:textId="77777777" w:rsidTr="0081432C">
        <w:trPr>
          <w:trHeight w:val="1241"/>
        </w:trPr>
        <w:tc>
          <w:tcPr>
            <w:tcW w:w="8494" w:type="dxa"/>
            <w:gridSpan w:val="3"/>
            <w:vAlign w:val="center"/>
          </w:tcPr>
          <w:p w14:paraId="70EBD31F" w14:textId="77777777" w:rsidR="006327E7" w:rsidRPr="00D4733A" w:rsidRDefault="006327E7" w:rsidP="006327E7">
            <w:pPr>
              <w:bidi/>
              <w:spacing w:before="120" w:after="120" w:line="280" w:lineRule="exact"/>
              <w:jc w:val="both"/>
              <w:rPr>
                <w:rFonts w:ascii="Sakkal Majalla" w:hAnsi="Sakkal Majalla" w:cs="Sakkal Majalla"/>
                <w:bCs/>
              </w:rPr>
            </w:pPr>
            <w:r w:rsidRPr="00D4733A">
              <w:rPr>
                <w:rFonts w:ascii="Sakkal Majalla" w:hAnsi="Sakkal Majalla" w:cs="Sakkal Majalla"/>
                <w:bCs/>
                <w:rtl/>
              </w:rPr>
              <w:t>الهدف من الحصة</w:t>
            </w:r>
            <w:r w:rsidRPr="00D4733A">
              <w:rPr>
                <w:rFonts w:ascii="Sakkal Majalla" w:hAnsi="Sakkal Majalla" w:cs="Sakkal Majalla"/>
                <w:bCs/>
              </w:rPr>
              <w:t>:</w:t>
            </w:r>
          </w:p>
          <w:p w14:paraId="220F46B2" w14:textId="77777777" w:rsidR="006327E7" w:rsidRPr="00812838" w:rsidRDefault="006327E7" w:rsidP="006327E7">
            <w:pPr>
              <w:bidi/>
              <w:spacing w:before="120" w:after="120"/>
              <w:jc w:val="both"/>
              <w:rPr>
                <w:rFonts w:ascii="Sakkal Majalla" w:hAnsi="Sakkal Majalla" w:cs="Sakkal Majalla"/>
              </w:rPr>
            </w:pPr>
            <w:r>
              <w:rPr>
                <w:rFonts w:ascii="Sakkal Majalla" w:hAnsi="Sakkal Majalla" w:cs="Sakkal Majalla" w:hint="cs"/>
                <w:rtl/>
              </w:rPr>
              <w:t>ترمي هذه الحصة إلى تزويد المشاركين بالمبادئ التوجيهية بشأن المطالبة بسلطات تحقيقية أو إجرائية تطابق اتفاقية بودابست. وستوفر هذه الحصة أيضا معلومات حول ما ينبغي للمسؤولين القضائيين أو السلطات المختصة الأخرى توقعه من سلطات إنفاذ القانون أو المدعيين العامين الذين يطالبون بسلطات إجرائية.</w:t>
            </w:r>
          </w:p>
        </w:tc>
      </w:tr>
      <w:tr w:rsidR="006327E7" w:rsidRPr="006F1FAC" w14:paraId="0ABCA967" w14:textId="77777777" w:rsidTr="0081432C">
        <w:trPr>
          <w:trHeight w:val="2240"/>
        </w:trPr>
        <w:tc>
          <w:tcPr>
            <w:tcW w:w="8494" w:type="dxa"/>
            <w:gridSpan w:val="3"/>
            <w:vAlign w:val="center"/>
          </w:tcPr>
          <w:p w14:paraId="13EC5779" w14:textId="77777777" w:rsidR="006327E7" w:rsidRPr="006F1FAC" w:rsidRDefault="006327E7" w:rsidP="006327E7">
            <w:pPr>
              <w:bidi/>
              <w:jc w:val="both"/>
              <w:rPr>
                <w:rFonts w:ascii="Sakkal Majalla" w:hAnsi="Sakkal Majalla" w:cs="Sakkal Majalla"/>
                <w:b/>
                <w:bCs/>
                <w:lang w:bidi="ar-SY"/>
              </w:rPr>
            </w:pPr>
            <w:r w:rsidRPr="006F1FAC">
              <w:rPr>
                <w:rFonts w:ascii="Sakkal Majalla" w:hAnsi="Sakkal Majalla" w:cs="Sakkal Majalla"/>
                <w:b/>
                <w:bCs/>
                <w:rtl/>
                <w:lang w:bidi="ar-SY"/>
              </w:rPr>
              <w:t>الأهداف</w:t>
            </w:r>
            <w:r w:rsidRPr="006F1FAC">
              <w:rPr>
                <w:rFonts w:ascii="Sakkal Majalla" w:hAnsi="Sakkal Majalla" w:cs="Sakkal Majalla"/>
                <w:b/>
                <w:bCs/>
                <w:lang w:bidi="ar-SY"/>
              </w:rPr>
              <w:t>:</w:t>
            </w:r>
          </w:p>
          <w:p w14:paraId="6CE46617" w14:textId="77777777" w:rsidR="006327E7" w:rsidRPr="006F1FAC" w:rsidRDefault="006327E7" w:rsidP="006327E7">
            <w:pPr>
              <w:tabs>
                <w:tab w:val="left" w:pos="426"/>
                <w:tab w:val="left" w:pos="851"/>
              </w:tabs>
              <w:bidi/>
              <w:jc w:val="both"/>
              <w:rPr>
                <w:rFonts w:ascii="Sakkal Majalla" w:hAnsi="Sakkal Majalla" w:cs="Sakkal Majalla"/>
                <w:rtl/>
                <w:lang w:bidi="ar-SY"/>
              </w:rPr>
            </w:pPr>
            <w:r w:rsidRPr="006F1FAC">
              <w:rPr>
                <w:rFonts w:ascii="Sakkal Majalla" w:hAnsi="Sakkal Majalla" w:cs="Sakkal Majalla"/>
                <w:rtl/>
                <w:lang w:bidi="ar-SY"/>
              </w:rPr>
              <w:t xml:space="preserve">في نهاية هذه الحصة، سيكون المشاركون قادرين </w:t>
            </w:r>
            <w:proofErr w:type="gramStart"/>
            <w:r w:rsidRPr="006F1FAC">
              <w:rPr>
                <w:rFonts w:ascii="Sakkal Majalla" w:hAnsi="Sakkal Majalla" w:cs="Sakkal Majalla"/>
                <w:rtl/>
                <w:lang w:bidi="ar-SY"/>
              </w:rPr>
              <w:t>على</w:t>
            </w:r>
            <w:proofErr w:type="gramEnd"/>
            <w:r w:rsidRPr="006F1FAC">
              <w:rPr>
                <w:rFonts w:ascii="Sakkal Majalla" w:hAnsi="Sakkal Majalla" w:cs="Sakkal Majalla"/>
                <w:rtl/>
                <w:lang w:bidi="ar-SY"/>
              </w:rPr>
              <w:t>:</w:t>
            </w:r>
          </w:p>
          <w:p w14:paraId="112D75D9" w14:textId="7F2594C2" w:rsidR="006327E7" w:rsidRDefault="006327E7" w:rsidP="006327E7">
            <w:pPr>
              <w:pStyle w:val="bul1"/>
              <w:numPr>
                <w:ilvl w:val="0"/>
                <w:numId w:val="6"/>
              </w:numPr>
              <w:bidi/>
              <w:spacing w:line="240" w:lineRule="auto"/>
              <w:rPr>
                <w:rFonts w:ascii="Sakkal Majalla" w:hAnsi="Sakkal Majalla" w:cs="Sakkal Majalla" w:hint="cs"/>
                <w:sz w:val="24"/>
                <w:lang w:val="fr-FR"/>
              </w:rPr>
            </w:pPr>
            <w:proofErr w:type="gramStart"/>
            <w:r w:rsidRPr="006F1FAC">
              <w:rPr>
                <w:rFonts w:ascii="Sakkal Majalla" w:hAnsi="Sakkal Majalla" w:cs="Sakkal Majalla"/>
                <w:sz w:val="24"/>
                <w:rtl/>
                <w:lang w:val="fr-FR"/>
              </w:rPr>
              <w:t>فهم</w:t>
            </w:r>
            <w:proofErr w:type="gramEnd"/>
            <w:r w:rsidRPr="006F1FAC">
              <w:rPr>
                <w:rFonts w:ascii="Sakkal Majalla" w:hAnsi="Sakkal Majalla" w:cs="Sakkal Majalla"/>
                <w:sz w:val="24"/>
                <w:rtl/>
                <w:lang w:val="fr-FR"/>
              </w:rPr>
              <w:t xml:space="preserve"> الطرق التي تمكن من خلالها مختلف الأنظمة القانونية طلب </w:t>
            </w:r>
            <w:r>
              <w:rPr>
                <w:rFonts w:ascii="Sakkal Majalla" w:hAnsi="Sakkal Majalla" w:cs="Sakkal Majalla"/>
                <w:sz w:val="24"/>
                <w:rtl/>
                <w:lang w:val="fr-FR"/>
              </w:rPr>
              <w:t xml:space="preserve">سلطات </w:t>
            </w:r>
            <w:r w:rsidRPr="006F1FAC">
              <w:rPr>
                <w:rFonts w:ascii="Sakkal Majalla" w:hAnsi="Sakkal Majalla" w:cs="Sakkal Majalla"/>
                <w:sz w:val="24"/>
                <w:rtl/>
                <w:lang w:val="fr-FR"/>
              </w:rPr>
              <w:t xml:space="preserve">إجرائية </w:t>
            </w:r>
          </w:p>
          <w:p w14:paraId="180EB21E" w14:textId="28C76D9F" w:rsidR="006327E7" w:rsidRDefault="006327E7" w:rsidP="006327E7">
            <w:pPr>
              <w:pStyle w:val="bul1"/>
              <w:numPr>
                <w:ilvl w:val="0"/>
                <w:numId w:val="6"/>
              </w:numPr>
              <w:bidi/>
              <w:spacing w:line="240" w:lineRule="auto"/>
              <w:rPr>
                <w:rFonts w:ascii="Sakkal Majalla" w:hAnsi="Sakkal Majalla" w:cs="Sakkal Majalla" w:hint="cs"/>
                <w:sz w:val="24"/>
                <w:lang w:val="fr-FR"/>
              </w:rPr>
            </w:pPr>
            <w:r w:rsidRPr="008E5780">
              <w:rPr>
                <w:rFonts w:ascii="Sakkal Majalla" w:hAnsi="Sakkal Majalla" w:cs="Sakkal Majalla"/>
                <w:sz w:val="24"/>
                <w:rtl/>
                <w:lang w:val="fr-FR"/>
              </w:rPr>
              <w:t xml:space="preserve">تحديد الاعتبارات الخاصة ذات الصلة </w:t>
            </w:r>
            <w:r>
              <w:rPr>
                <w:rFonts w:ascii="Sakkal Majalla" w:hAnsi="Sakkal Majalla" w:cs="Sakkal Majalla" w:hint="cs"/>
                <w:sz w:val="24"/>
                <w:rtl/>
                <w:lang w:val="fr-FR"/>
              </w:rPr>
              <w:t>ب</w:t>
            </w:r>
            <w:r>
              <w:rPr>
                <w:rFonts w:ascii="Sakkal Majalla" w:hAnsi="Sakkal Majalla" w:cs="Sakkal Majalla"/>
                <w:sz w:val="24"/>
                <w:rtl/>
                <w:lang w:val="fr-FR"/>
              </w:rPr>
              <w:t>طلب</w:t>
            </w:r>
            <w:r>
              <w:rPr>
                <w:rFonts w:ascii="Sakkal Majalla" w:hAnsi="Sakkal Majalla" w:cs="Sakkal Majalla" w:hint="cs"/>
                <w:sz w:val="24"/>
                <w:rtl/>
                <w:lang w:val="fr-FR"/>
              </w:rPr>
              <w:t xml:space="preserve"> اتخاذ تدابير</w:t>
            </w:r>
            <w:r w:rsidRPr="008E5780">
              <w:rPr>
                <w:rFonts w:ascii="Sakkal Majalla" w:hAnsi="Sakkal Majalla" w:cs="Sakkal Majalla"/>
                <w:sz w:val="24"/>
                <w:rtl/>
                <w:lang w:val="fr-FR"/>
              </w:rPr>
              <w:t xml:space="preserve"> إجرائية</w:t>
            </w:r>
            <w:r>
              <w:rPr>
                <w:rFonts w:ascii="Sakkal Majalla" w:hAnsi="Sakkal Majalla" w:cs="Sakkal Majalla" w:hint="cs"/>
                <w:sz w:val="24"/>
                <w:rtl/>
                <w:lang w:val="fr-FR"/>
              </w:rPr>
              <w:t xml:space="preserve"> أو تحقيقية</w:t>
            </w:r>
            <w:r w:rsidRPr="008E5780">
              <w:rPr>
                <w:rFonts w:ascii="Sakkal Majalla" w:hAnsi="Sakkal Majalla" w:cs="Sakkal Majalla"/>
                <w:sz w:val="24"/>
                <w:rtl/>
                <w:lang w:val="fr-FR"/>
              </w:rPr>
              <w:t xml:space="preserve"> متعلقة بالأدلة الإلكترونية</w:t>
            </w:r>
          </w:p>
          <w:p w14:paraId="06D3E9CA" w14:textId="696F7932" w:rsidR="006327E7" w:rsidRPr="008E5780" w:rsidRDefault="006327E7" w:rsidP="006327E7">
            <w:pPr>
              <w:pStyle w:val="bul1"/>
              <w:numPr>
                <w:ilvl w:val="0"/>
                <w:numId w:val="6"/>
              </w:numPr>
              <w:bidi/>
              <w:spacing w:line="240" w:lineRule="auto"/>
              <w:rPr>
                <w:rFonts w:ascii="Sakkal Majalla" w:hAnsi="Sakkal Majalla" w:cs="Sakkal Majalla"/>
                <w:sz w:val="24"/>
                <w:lang w:val="fr-FR"/>
              </w:rPr>
            </w:pPr>
            <w:r w:rsidRPr="008E5780">
              <w:rPr>
                <w:rFonts w:ascii="Sakkal Majalla" w:hAnsi="Sakkal Majalla" w:cs="Sakkal Majalla"/>
                <w:sz w:val="24"/>
                <w:rtl/>
                <w:lang w:val="fr-FR"/>
              </w:rPr>
              <w:t xml:space="preserve">فهم بعض الاعتبارات والضمانات التي ينبغي </w:t>
            </w:r>
            <w:proofErr w:type="gramStart"/>
            <w:r w:rsidRPr="008E5780">
              <w:rPr>
                <w:rFonts w:ascii="Sakkal Majalla" w:hAnsi="Sakkal Majalla" w:cs="Sakkal Majalla"/>
                <w:sz w:val="24"/>
                <w:rtl/>
                <w:lang w:val="fr-FR"/>
              </w:rPr>
              <w:t>تذكرها</w:t>
            </w:r>
            <w:proofErr w:type="gramEnd"/>
            <w:r w:rsidRPr="008E5780">
              <w:rPr>
                <w:rFonts w:ascii="Sakkal Majalla" w:hAnsi="Sakkal Majalla" w:cs="Sakkal Majalla"/>
                <w:sz w:val="24"/>
                <w:rtl/>
                <w:lang w:val="fr-FR"/>
              </w:rPr>
              <w:t xml:space="preserve"> عند </w:t>
            </w:r>
            <w:r>
              <w:rPr>
                <w:rFonts w:ascii="Sakkal Majalla" w:hAnsi="Sakkal Majalla" w:cs="Sakkal Majalla" w:hint="cs"/>
                <w:sz w:val="24"/>
                <w:rtl/>
                <w:lang w:val="fr-FR"/>
              </w:rPr>
              <w:t>طلب</w:t>
            </w:r>
            <w:r w:rsidRPr="008E5780">
              <w:rPr>
                <w:rFonts w:ascii="Sakkal Majalla" w:hAnsi="Sakkal Majalla" w:cs="Sakkal Majalla"/>
                <w:sz w:val="24"/>
                <w:rtl/>
                <w:lang w:val="fr-FR"/>
              </w:rPr>
              <w:t xml:space="preserve"> </w:t>
            </w:r>
            <w:r>
              <w:rPr>
                <w:rFonts w:ascii="Sakkal Majalla" w:hAnsi="Sakkal Majalla" w:cs="Sakkal Majalla"/>
                <w:sz w:val="24"/>
                <w:rtl/>
                <w:lang w:val="fr-FR"/>
              </w:rPr>
              <w:t>سلطات إجرائية</w:t>
            </w:r>
          </w:p>
        </w:tc>
      </w:tr>
      <w:tr w:rsidR="006327E7" w:rsidRPr="006F1FAC" w14:paraId="4F6C7020" w14:textId="77777777" w:rsidTr="0081432C">
        <w:trPr>
          <w:trHeight w:val="530"/>
        </w:trPr>
        <w:tc>
          <w:tcPr>
            <w:tcW w:w="8494" w:type="dxa"/>
            <w:gridSpan w:val="3"/>
            <w:tcBorders>
              <w:bottom w:val="single" w:sz="4" w:space="0" w:color="auto"/>
            </w:tcBorders>
            <w:vAlign w:val="center"/>
          </w:tcPr>
          <w:p w14:paraId="02BB7EAE" w14:textId="77777777" w:rsidR="006327E7" w:rsidRPr="00A42BB1" w:rsidRDefault="006327E7" w:rsidP="006327E7">
            <w:pPr>
              <w:bidi/>
              <w:spacing w:after="120"/>
              <w:jc w:val="both"/>
              <w:rPr>
                <w:rFonts w:ascii="Sakkal Majalla" w:hAnsi="Sakkal Majalla" w:cs="Sakkal Majalla"/>
                <w:bCs/>
              </w:rPr>
            </w:pPr>
            <w:proofErr w:type="gramStart"/>
            <w:r w:rsidRPr="00A42BB1">
              <w:rPr>
                <w:rFonts w:ascii="Sakkal Majalla" w:hAnsi="Sakkal Majalla" w:cs="Sakkal Majalla"/>
                <w:bCs/>
                <w:rtl/>
              </w:rPr>
              <w:t>توجيه</w:t>
            </w:r>
            <w:proofErr w:type="gramEnd"/>
            <w:r w:rsidRPr="00A42BB1">
              <w:rPr>
                <w:rFonts w:ascii="Sakkal Majalla" w:hAnsi="Sakkal Majalla" w:cs="Sakkal Majalla"/>
                <w:bCs/>
                <w:rtl/>
              </w:rPr>
              <w:t xml:space="preserve"> المدرب</w:t>
            </w:r>
          </w:p>
          <w:p w14:paraId="6DF79DC5" w14:textId="77777777" w:rsidR="006327E7" w:rsidRPr="009A61D3" w:rsidRDefault="006327E7" w:rsidP="006327E7">
            <w:pPr>
              <w:bidi/>
              <w:spacing w:after="120"/>
              <w:jc w:val="both"/>
              <w:rPr>
                <w:rFonts w:ascii="Sakkal Majalla" w:hAnsi="Sakkal Majalla" w:cs="Sakkal Majalla"/>
              </w:rPr>
            </w:pPr>
            <w:r>
              <w:rPr>
                <w:rFonts w:ascii="Sakkal Majalla" w:hAnsi="Sakkal Majalla" w:cs="Sakkal Majalla" w:hint="cs"/>
                <w:rtl/>
              </w:rPr>
              <w:t>تطالب العديد من الولايات القضائية المسؤولين عن إنفاذ القانون والمدعين العامين وغيرهم من الأشخاص المعنيين بإجراء التحقيقات في الجرائم الجنائية بتقديم طلب بالترخيص إلى سلطة قضائية أو أي سلطة مختصة أخرى من أجل ممارسة السلطات الإجرائية. ويطلب من المدرب أن يشرح أن بعض الولايات القضائية تشترط طلبات كتابية بينما لا تشترط ولايات قضائية أخرى إلا طلبات شفاهية للحصول على الترخيص من أجل اتخاذ تدابير إجرائية أو تحقيقية. ينبغي للمدرب أيضا أن يتأكد أن هذه الحصة تقدَّم مع مراعاة الشروط والضمانات ذات الصلة بالمادة 15 من اتفاقية بودابست.</w:t>
            </w:r>
          </w:p>
        </w:tc>
      </w:tr>
      <w:tr w:rsidR="006327E7" w:rsidRPr="006F1FAC" w14:paraId="0A694171" w14:textId="77777777" w:rsidTr="0081432C">
        <w:trPr>
          <w:trHeight w:val="701"/>
        </w:trPr>
        <w:tc>
          <w:tcPr>
            <w:tcW w:w="8494" w:type="dxa"/>
            <w:gridSpan w:val="3"/>
            <w:tcBorders>
              <w:bottom w:val="single" w:sz="4" w:space="0" w:color="auto"/>
            </w:tcBorders>
            <w:shd w:val="clear" w:color="auto" w:fill="D9E2F3" w:themeFill="accent1" w:themeFillTint="33"/>
            <w:vAlign w:val="center"/>
          </w:tcPr>
          <w:p w14:paraId="0E165937" w14:textId="77777777" w:rsidR="006327E7" w:rsidRPr="006F1FAC" w:rsidRDefault="006327E7" w:rsidP="0081432C">
            <w:pPr>
              <w:bidi/>
              <w:spacing w:before="120" w:after="120"/>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6327E7" w:rsidRPr="006F1FAC" w14:paraId="7ABD064D" w14:textId="77777777" w:rsidTr="0081432C">
        <w:trPr>
          <w:trHeight w:val="629"/>
        </w:trPr>
        <w:tc>
          <w:tcPr>
            <w:tcW w:w="1610" w:type="dxa"/>
            <w:shd w:val="clear" w:color="auto" w:fill="D9E2F3" w:themeFill="accent1" w:themeFillTint="33"/>
            <w:vAlign w:val="center"/>
          </w:tcPr>
          <w:p w14:paraId="030030D8" w14:textId="77777777" w:rsidR="006327E7" w:rsidRPr="009A61D3" w:rsidRDefault="006327E7" w:rsidP="0081432C">
            <w:pPr>
              <w:bidi/>
              <w:spacing w:before="120" w:after="120"/>
              <w:jc w:val="center"/>
              <w:rPr>
                <w:rFonts w:ascii="Sakkal Majalla" w:hAnsi="Sakkal Majalla" w:cs="Sakkal Majalla"/>
                <w:b/>
                <w:sz w:val="28"/>
                <w:szCs w:val="28"/>
              </w:rPr>
            </w:pPr>
            <w:proofErr w:type="gramStart"/>
            <w:r w:rsidRPr="009A61D3">
              <w:rPr>
                <w:rFonts w:ascii="Sakkal Majalla" w:hAnsi="Sakkal Majalla" w:cs="Sakkal Majalla"/>
                <w:bCs/>
                <w:sz w:val="28"/>
                <w:szCs w:val="28"/>
                <w:rtl/>
              </w:rPr>
              <w:t>رقم</w:t>
            </w:r>
            <w:proofErr w:type="gramEnd"/>
            <w:r w:rsidRPr="009A61D3">
              <w:rPr>
                <w:rFonts w:ascii="Sakkal Majalla" w:hAnsi="Sakkal Majalla" w:cs="Sakkal Majalla"/>
                <w:bCs/>
                <w:sz w:val="28"/>
                <w:szCs w:val="28"/>
                <w:rtl/>
              </w:rPr>
              <w:t xml:space="preserve"> الشفافة</w:t>
            </w:r>
          </w:p>
        </w:tc>
        <w:tc>
          <w:tcPr>
            <w:tcW w:w="6884" w:type="dxa"/>
            <w:gridSpan w:val="2"/>
            <w:shd w:val="clear" w:color="auto" w:fill="D9E2F3" w:themeFill="accent1" w:themeFillTint="33"/>
            <w:vAlign w:val="center"/>
          </w:tcPr>
          <w:p w14:paraId="395E8910" w14:textId="77777777" w:rsidR="006327E7" w:rsidRPr="009A61D3" w:rsidRDefault="006327E7" w:rsidP="0081432C">
            <w:pPr>
              <w:bidi/>
              <w:spacing w:before="120" w:after="120"/>
              <w:rPr>
                <w:rFonts w:ascii="Sakkal Majalla" w:hAnsi="Sakkal Majalla" w:cs="Sakkal Majalla"/>
                <w:b/>
                <w:sz w:val="28"/>
                <w:szCs w:val="28"/>
              </w:rPr>
            </w:pPr>
            <w:r w:rsidRPr="009A61D3">
              <w:rPr>
                <w:rFonts w:ascii="Sakkal Majalla" w:hAnsi="Sakkal Majalla" w:cs="Sakkal Majalla"/>
                <w:bCs/>
                <w:sz w:val="28"/>
                <w:szCs w:val="28"/>
                <w:rtl/>
              </w:rPr>
              <w:t>المحتوى</w:t>
            </w:r>
          </w:p>
        </w:tc>
      </w:tr>
      <w:tr w:rsidR="006327E7" w:rsidRPr="006F1FAC" w14:paraId="18288BA1" w14:textId="77777777" w:rsidTr="0081432C">
        <w:trPr>
          <w:trHeight w:val="530"/>
        </w:trPr>
        <w:tc>
          <w:tcPr>
            <w:tcW w:w="1610" w:type="dxa"/>
            <w:vAlign w:val="center"/>
          </w:tcPr>
          <w:p w14:paraId="40A7A07F" w14:textId="77777777" w:rsidR="006327E7" w:rsidRPr="006F1FAC" w:rsidRDefault="006327E7" w:rsidP="0081432C">
            <w:pPr>
              <w:bidi/>
              <w:spacing w:before="120" w:after="120" w:line="280" w:lineRule="exact"/>
              <w:jc w:val="center"/>
              <w:rPr>
                <w:rFonts w:ascii="Sakkal Majalla" w:hAnsi="Sakkal Majalla" w:cs="Sakkal Majalla"/>
                <w:szCs w:val="18"/>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6884" w:type="dxa"/>
            <w:gridSpan w:val="2"/>
            <w:vAlign w:val="center"/>
          </w:tcPr>
          <w:p w14:paraId="79C510F5" w14:textId="77777777" w:rsidR="006327E7" w:rsidRPr="006F1FAC" w:rsidRDefault="006327E7" w:rsidP="006327E7">
            <w:pPr>
              <w:tabs>
                <w:tab w:val="left" w:pos="426"/>
                <w:tab w:val="left" w:pos="851"/>
              </w:tabs>
              <w:bidi/>
              <w:jc w:val="both"/>
              <w:rPr>
                <w:rFonts w:ascii="Sakkal Majalla" w:hAnsi="Sakkal Majalla" w:cs="Sakkal Majalla"/>
                <w:szCs w:val="18"/>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الشفافات الأولى بنية وأهداف هذه الحصة. وسيمنح المشاركون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أولية قد تكون لديهم بشأن بنية وأهداف هذه الحصة. </w:t>
            </w:r>
          </w:p>
        </w:tc>
      </w:tr>
      <w:tr w:rsidR="006327E7" w:rsidRPr="006F1FAC" w14:paraId="046B9762" w14:textId="77777777" w:rsidTr="0081432C">
        <w:trPr>
          <w:trHeight w:val="2015"/>
        </w:trPr>
        <w:tc>
          <w:tcPr>
            <w:tcW w:w="1610" w:type="dxa"/>
            <w:vAlign w:val="center"/>
          </w:tcPr>
          <w:p w14:paraId="66816671" w14:textId="77777777" w:rsidR="006327E7" w:rsidRPr="00BA049B" w:rsidRDefault="006327E7" w:rsidP="0081432C">
            <w:pPr>
              <w:bidi/>
              <w:jc w:val="center"/>
              <w:rPr>
                <w:rFonts w:ascii="Sakkal Majalla" w:hAnsi="Sakkal Majalla" w:cs="Sakkal Majalla"/>
              </w:rPr>
            </w:pPr>
            <w:r w:rsidRPr="00BA049B">
              <w:rPr>
                <w:rFonts w:ascii="Sakkal Majalla" w:hAnsi="Sakkal Majalla" w:cs="Sakkal Majalla"/>
              </w:rPr>
              <w:t xml:space="preserve">4 </w:t>
            </w:r>
            <w:r>
              <w:rPr>
                <w:rFonts w:ascii="Sakkal Majalla" w:hAnsi="Sakkal Majalla" w:cs="Sakkal Majalla" w:hint="cs"/>
                <w:rtl/>
              </w:rPr>
              <w:t xml:space="preserve"> إلى </w:t>
            </w:r>
            <w:r w:rsidRPr="00BA049B">
              <w:rPr>
                <w:rFonts w:ascii="Sakkal Majalla" w:hAnsi="Sakkal Majalla" w:cs="Sakkal Majalla"/>
              </w:rPr>
              <w:t xml:space="preserve"> 8</w:t>
            </w:r>
          </w:p>
        </w:tc>
        <w:tc>
          <w:tcPr>
            <w:tcW w:w="6884" w:type="dxa"/>
            <w:gridSpan w:val="2"/>
            <w:vAlign w:val="center"/>
          </w:tcPr>
          <w:p w14:paraId="0D43FDC8" w14:textId="77777777" w:rsidR="006327E7" w:rsidRPr="00BA049B" w:rsidRDefault="006327E7" w:rsidP="006327E7">
            <w:pPr>
              <w:bidi/>
              <w:jc w:val="both"/>
              <w:rPr>
                <w:rFonts w:ascii="Sakkal Majalla" w:hAnsi="Sakkal Majalla" w:cs="Sakkal Majalla"/>
              </w:rPr>
            </w:pPr>
            <w:r>
              <w:rPr>
                <w:rFonts w:ascii="Sakkal Majalla" w:hAnsi="Sakkal Majalla" w:cs="Sakkal Majalla" w:hint="cs"/>
                <w:rtl/>
              </w:rPr>
              <w:t xml:space="preserve">توفر هذه الشفافات تذكيرا ببعض أهم الجوانب في اتفاقية بودابست ذات الصلة بالحصة. وتتضمن قائمة بمختلف السلطات الإجرائية بموجب اتفاقية بودابست. وينبغي للمدرب استخدام هذه الشفافات أيضا للتذكير بأهم المفاهيم بموجب المادة 15 من اتفاقية بودابست. </w:t>
            </w:r>
            <w:proofErr w:type="gramStart"/>
            <w:r>
              <w:rPr>
                <w:rFonts w:ascii="Sakkal Majalla" w:hAnsi="Sakkal Majalla" w:cs="Sakkal Majalla" w:hint="cs"/>
                <w:rtl/>
              </w:rPr>
              <w:t>كما</w:t>
            </w:r>
            <w:proofErr w:type="gramEnd"/>
            <w:r>
              <w:rPr>
                <w:rFonts w:ascii="Sakkal Majalla" w:hAnsi="Sakkal Majalla" w:cs="Sakkal Majalla" w:hint="cs"/>
                <w:rtl/>
              </w:rPr>
              <w:t xml:space="preserve"> يتعين على المدرب التمييز بين العمليات التي تسعى للحصول على ترخيص من أجل ممارسة السلطات الإجرائية في مختلف الأنظمة القانونية. </w:t>
            </w:r>
            <w:proofErr w:type="gramStart"/>
            <w:r>
              <w:rPr>
                <w:rFonts w:ascii="Sakkal Majalla" w:hAnsi="Sakkal Majalla" w:cs="Sakkal Majalla" w:hint="cs"/>
                <w:rtl/>
              </w:rPr>
              <w:t>فضلا</w:t>
            </w:r>
            <w:proofErr w:type="gramEnd"/>
            <w:r>
              <w:rPr>
                <w:rFonts w:ascii="Sakkal Majalla" w:hAnsi="Sakkal Majalla" w:cs="Sakkal Majalla" w:hint="cs"/>
                <w:rtl/>
              </w:rPr>
              <w:t xml:space="preserve"> عن ذلك، يوفر هذا الجزء تقديما موجزا للأجزاء 2، 3 و4 من الحصة </w:t>
            </w:r>
            <w:r>
              <w:rPr>
                <w:rFonts w:ascii="Sakkal Majalla" w:hAnsi="Sakkal Majalla" w:cs="Sakkal Majalla"/>
                <w:rtl/>
              </w:rPr>
              <w:t>–</w:t>
            </w:r>
            <w:r>
              <w:rPr>
                <w:rFonts w:ascii="Sakkal Majalla" w:hAnsi="Sakkal Majalla" w:cs="Sakkal Majalla" w:hint="cs"/>
                <w:rtl/>
              </w:rPr>
              <w:t xml:space="preserve"> أي "ماذا"، "كيف"، و"لماذا" يجب إدراجه في الطلبات من أجل ممارسة السلطات الإجرائية</w:t>
            </w:r>
            <w:r w:rsidRPr="00BA049B">
              <w:rPr>
                <w:rFonts w:ascii="Sakkal Majalla" w:hAnsi="Sakkal Majalla" w:cs="Sakkal Majalla"/>
              </w:rPr>
              <w:t>.</w:t>
            </w:r>
          </w:p>
        </w:tc>
      </w:tr>
      <w:tr w:rsidR="006327E7" w:rsidRPr="006F1FAC" w14:paraId="5EC11B58" w14:textId="77777777" w:rsidTr="0081432C">
        <w:trPr>
          <w:trHeight w:val="557"/>
        </w:trPr>
        <w:tc>
          <w:tcPr>
            <w:tcW w:w="1610" w:type="dxa"/>
            <w:vAlign w:val="center"/>
          </w:tcPr>
          <w:p w14:paraId="2E9B4725" w14:textId="77777777" w:rsidR="006327E7" w:rsidRPr="00BA049B" w:rsidRDefault="006327E7" w:rsidP="0081432C">
            <w:pPr>
              <w:bidi/>
              <w:jc w:val="center"/>
              <w:rPr>
                <w:rFonts w:ascii="Sakkal Majalla" w:hAnsi="Sakkal Majalla" w:cs="Sakkal Majalla"/>
              </w:rPr>
            </w:pPr>
            <w:r w:rsidRPr="00BA049B">
              <w:rPr>
                <w:rFonts w:ascii="Sakkal Majalla" w:hAnsi="Sakkal Majalla" w:cs="Sakkal Majalla"/>
              </w:rPr>
              <w:lastRenderedPageBreak/>
              <w:t xml:space="preserve">9 </w:t>
            </w:r>
            <w:r>
              <w:rPr>
                <w:rFonts w:ascii="Sakkal Majalla" w:hAnsi="Sakkal Majalla" w:cs="Sakkal Majalla" w:hint="cs"/>
                <w:rtl/>
              </w:rPr>
              <w:t xml:space="preserve"> إلى </w:t>
            </w:r>
            <w:r w:rsidRPr="00BA049B">
              <w:rPr>
                <w:rFonts w:ascii="Sakkal Majalla" w:hAnsi="Sakkal Majalla" w:cs="Sakkal Majalla"/>
              </w:rPr>
              <w:t xml:space="preserve"> 22</w:t>
            </w:r>
          </w:p>
        </w:tc>
        <w:tc>
          <w:tcPr>
            <w:tcW w:w="6884" w:type="dxa"/>
            <w:gridSpan w:val="2"/>
            <w:vAlign w:val="center"/>
          </w:tcPr>
          <w:p w14:paraId="1605274B" w14:textId="77777777" w:rsidR="006327E7" w:rsidRPr="00BA049B" w:rsidRDefault="006327E7" w:rsidP="006327E7">
            <w:pPr>
              <w:bidi/>
              <w:spacing w:before="120" w:after="120"/>
              <w:jc w:val="both"/>
              <w:rPr>
                <w:rFonts w:ascii="Sakkal Majalla" w:hAnsi="Sakkal Majalla" w:cs="Sakkal Majalla"/>
              </w:rPr>
            </w:pPr>
            <w:proofErr w:type="gramStart"/>
            <w:r>
              <w:rPr>
                <w:rFonts w:ascii="Sakkal Majalla" w:hAnsi="Sakkal Majalla" w:cs="Sakkal Majalla" w:hint="cs"/>
                <w:rtl/>
              </w:rPr>
              <w:t>ترتبط</w:t>
            </w:r>
            <w:proofErr w:type="gramEnd"/>
            <w:r>
              <w:rPr>
                <w:rFonts w:ascii="Sakkal Majalla" w:hAnsi="Sakkal Majalla" w:cs="Sakkal Majalla" w:hint="cs"/>
                <w:rtl/>
              </w:rPr>
              <w:t xml:space="preserve"> هذه الشفافات بـ"ماذا" يجب إدراجه في الطلبات من أجل ممارسة السلطات الإجرائية</w:t>
            </w:r>
            <w:r w:rsidRPr="00BA049B">
              <w:rPr>
                <w:rFonts w:ascii="Sakkal Majalla" w:hAnsi="Sakkal Majalla" w:cs="Sakkal Majalla"/>
              </w:rPr>
              <w:t>.</w:t>
            </w:r>
            <w:r>
              <w:rPr>
                <w:rFonts w:ascii="Sakkal Majalla" w:hAnsi="Sakkal Majalla" w:cs="Sakkal Majalla" w:hint="cs"/>
                <w:rtl/>
              </w:rPr>
              <w:t xml:space="preserve"> </w:t>
            </w:r>
            <w:proofErr w:type="gramStart"/>
            <w:r>
              <w:rPr>
                <w:rFonts w:ascii="Sakkal Majalla" w:hAnsi="Sakkal Majalla" w:cs="Sakkal Majalla" w:hint="cs"/>
                <w:rtl/>
              </w:rPr>
              <w:t>وتغطي</w:t>
            </w:r>
            <w:proofErr w:type="gramEnd"/>
            <w:r>
              <w:rPr>
                <w:rFonts w:ascii="Sakkal Majalla" w:hAnsi="Sakkal Majalla" w:cs="Sakkal Majalla" w:hint="cs"/>
                <w:rtl/>
              </w:rPr>
              <w:t xml:space="preserve"> الجوانب المرتبطة ب والأشخاص الاعتباريين فيما يخص طلبا من أجل سلطة إجرائية. وتشير الشفافات إلى دراسة الحالة في تمرين التحقيق بغية تقديم أمثلة عن كيفية تحديد الأشخاص </w:t>
            </w:r>
            <w:proofErr w:type="gramStart"/>
            <w:r>
              <w:rPr>
                <w:rFonts w:ascii="Sakkal Majalla" w:hAnsi="Sakkal Majalla" w:cs="Sakkal Majalla" w:hint="cs"/>
                <w:rtl/>
              </w:rPr>
              <w:t>الاعتباريين</w:t>
            </w:r>
            <w:proofErr w:type="gramEnd"/>
            <w:r>
              <w:rPr>
                <w:rFonts w:ascii="Sakkal Majalla" w:hAnsi="Sakkal Majalla" w:cs="Sakkal Majalla" w:hint="cs"/>
                <w:rtl/>
              </w:rPr>
              <w:t xml:space="preserve"> وبيانات الموضوع.</w:t>
            </w:r>
          </w:p>
        </w:tc>
      </w:tr>
      <w:tr w:rsidR="006327E7" w:rsidRPr="006F1FAC" w14:paraId="0298BD34" w14:textId="77777777" w:rsidTr="0081432C">
        <w:trPr>
          <w:trHeight w:val="1340"/>
        </w:trPr>
        <w:tc>
          <w:tcPr>
            <w:tcW w:w="1610" w:type="dxa"/>
            <w:vAlign w:val="center"/>
          </w:tcPr>
          <w:p w14:paraId="3142FA87" w14:textId="77777777" w:rsidR="006327E7" w:rsidRPr="00BA049B" w:rsidRDefault="006327E7" w:rsidP="0081432C">
            <w:pPr>
              <w:bidi/>
              <w:jc w:val="center"/>
              <w:rPr>
                <w:rFonts w:ascii="Sakkal Majalla" w:hAnsi="Sakkal Majalla" w:cs="Sakkal Majalla"/>
              </w:rPr>
            </w:pPr>
            <w:r w:rsidRPr="00BA049B">
              <w:rPr>
                <w:rFonts w:ascii="Sakkal Majalla" w:hAnsi="Sakkal Majalla" w:cs="Sakkal Majalla"/>
              </w:rPr>
              <w:t xml:space="preserve">23 </w:t>
            </w:r>
            <w:r>
              <w:rPr>
                <w:rFonts w:ascii="Sakkal Majalla" w:hAnsi="Sakkal Majalla" w:cs="Sakkal Majalla" w:hint="cs"/>
                <w:rtl/>
              </w:rPr>
              <w:t xml:space="preserve"> إلى </w:t>
            </w:r>
            <w:r w:rsidRPr="00BA049B">
              <w:rPr>
                <w:rFonts w:ascii="Sakkal Majalla" w:hAnsi="Sakkal Majalla" w:cs="Sakkal Majalla"/>
              </w:rPr>
              <w:t xml:space="preserve"> 54</w:t>
            </w:r>
          </w:p>
        </w:tc>
        <w:tc>
          <w:tcPr>
            <w:tcW w:w="6884" w:type="dxa"/>
            <w:gridSpan w:val="2"/>
            <w:vAlign w:val="center"/>
          </w:tcPr>
          <w:p w14:paraId="7191D4AC" w14:textId="77777777" w:rsidR="006327E7" w:rsidRPr="00BA049B" w:rsidRDefault="006327E7" w:rsidP="006327E7">
            <w:pPr>
              <w:bidi/>
              <w:spacing w:before="120" w:after="120"/>
              <w:jc w:val="both"/>
              <w:rPr>
                <w:rFonts w:ascii="Sakkal Majalla" w:hAnsi="Sakkal Majalla" w:cs="Sakkal Majalla"/>
              </w:rPr>
            </w:pPr>
            <w:proofErr w:type="gramStart"/>
            <w:r>
              <w:rPr>
                <w:rFonts w:ascii="Sakkal Majalla" w:hAnsi="Sakkal Majalla" w:cs="Sakkal Majalla" w:hint="cs"/>
                <w:rtl/>
              </w:rPr>
              <w:t>ترتبط</w:t>
            </w:r>
            <w:proofErr w:type="gramEnd"/>
            <w:r>
              <w:rPr>
                <w:rFonts w:ascii="Sakkal Majalla" w:hAnsi="Sakkal Majalla" w:cs="Sakkal Majalla" w:hint="cs"/>
                <w:rtl/>
              </w:rPr>
              <w:t xml:space="preserve"> هذه الشفافات بـ"كيف" يجب إدراج ذلك في الطلبات من أجل ممارسة السلطات الإجرائية</w:t>
            </w:r>
            <w:r w:rsidRPr="00BA049B">
              <w:rPr>
                <w:rFonts w:ascii="Sakkal Majalla" w:hAnsi="Sakkal Majalla" w:cs="Sakkal Majalla"/>
              </w:rPr>
              <w:t>.</w:t>
            </w:r>
            <w:r>
              <w:rPr>
                <w:rFonts w:ascii="Sakkal Majalla" w:hAnsi="Sakkal Majalla" w:cs="Sakkal Majalla" w:hint="cs"/>
                <w:rtl/>
              </w:rPr>
              <w:t xml:space="preserve"> وتفسر كيف ينبغي تطبيق السلطات الإجرائية. وهكذا، فهي تشمل الجوانب الفنية لطريقة تطبيق السلطات الإجرائية (بمعنى أي سلطات إجرائية سيتم تنفيذها فيما يتعلق بمختلف التحقيقات، وأي تدابير فنية سيتم اتخاذها من أجل ممارسة تلك السلطات) من جهة، والجوانب الحمائية لطريقة تطبيق السلطات الإجرائية (بمعنى الشروط والضمانات في مرحلة التطبيق، مرحلة التنفيذ ومرحلة ما بعد التنفيذ) من جهة أخرى. وتشير الشفافات إلى دراسة الحالة في تمرين التحقيق بغية تقديم أمثلة عن التدابير الفنية والحمائية التي تجوز الإشارة إليها في الطلب.</w:t>
            </w:r>
          </w:p>
        </w:tc>
      </w:tr>
      <w:tr w:rsidR="006327E7" w:rsidRPr="006F1FAC" w14:paraId="2D30CD6F" w14:textId="77777777" w:rsidTr="0081432C">
        <w:trPr>
          <w:trHeight w:val="1340"/>
        </w:trPr>
        <w:tc>
          <w:tcPr>
            <w:tcW w:w="1610" w:type="dxa"/>
            <w:vAlign w:val="center"/>
          </w:tcPr>
          <w:p w14:paraId="389F2AF7" w14:textId="77777777" w:rsidR="006327E7" w:rsidRPr="00BA049B" w:rsidRDefault="006327E7" w:rsidP="0081432C">
            <w:pPr>
              <w:bidi/>
              <w:jc w:val="center"/>
              <w:rPr>
                <w:rFonts w:ascii="Sakkal Majalla" w:hAnsi="Sakkal Majalla" w:cs="Sakkal Majalla"/>
              </w:rPr>
            </w:pPr>
            <w:r w:rsidRPr="00BA049B">
              <w:rPr>
                <w:rFonts w:ascii="Sakkal Majalla" w:hAnsi="Sakkal Majalla" w:cs="Sakkal Majalla"/>
              </w:rPr>
              <w:t xml:space="preserve">55 </w:t>
            </w:r>
            <w:r>
              <w:rPr>
                <w:rFonts w:ascii="Sakkal Majalla" w:hAnsi="Sakkal Majalla" w:cs="Sakkal Majalla" w:hint="cs"/>
                <w:rtl/>
              </w:rPr>
              <w:t xml:space="preserve"> إلى </w:t>
            </w:r>
            <w:r w:rsidRPr="00BA049B">
              <w:rPr>
                <w:rFonts w:ascii="Sakkal Majalla" w:hAnsi="Sakkal Majalla" w:cs="Sakkal Majalla"/>
              </w:rPr>
              <w:t xml:space="preserve"> 66</w:t>
            </w:r>
          </w:p>
        </w:tc>
        <w:tc>
          <w:tcPr>
            <w:tcW w:w="6884" w:type="dxa"/>
            <w:gridSpan w:val="2"/>
            <w:vAlign w:val="center"/>
          </w:tcPr>
          <w:p w14:paraId="4D400C9D" w14:textId="77777777" w:rsidR="006327E7" w:rsidRPr="00BA049B" w:rsidRDefault="006327E7" w:rsidP="006327E7">
            <w:pPr>
              <w:bidi/>
              <w:spacing w:before="120" w:after="120"/>
              <w:jc w:val="both"/>
              <w:rPr>
                <w:rFonts w:ascii="Sakkal Majalla" w:hAnsi="Sakkal Majalla" w:cs="Sakkal Majalla"/>
              </w:rPr>
            </w:pPr>
            <w:proofErr w:type="gramStart"/>
            <w:r>
              <w:rPr>
                <w:rFonts w:ascii="Sakkal Majalla" w:hAnsi="Sakkal Majalla" w:cs="Sakkal Majalla" w:hint="cs"/>
                <w:rtl/>
              </w:rPr>
              <w:t>ترتبط</w:t>
            </w:r>
            <w:proofErr w:type="gramEnd"/>
            <w:r>
              <w:rPr>
                <w:rFonts w:ascii="Sakkal Majalla" w:hAnsi="Sakkal Majalla" w:cs="Sakkal Majalla" w:hint="cs"/>
                <w:rtl/>
              </w:rPr>
              <w:t xml:space="preserve"> هذه الشفافات بـ"لماذا" يجب إدراج ذلك في الطلبات من أجل ممارسة السلطات الإجرائية</w:t>
            </w:r>
            <w:r w:rsidRPr="00BA049B">
              <w:rPr>
                <w:rFonts w:ascii="Sakkal Majalla" w:hAnsi="Sakkal Majalla" w:cs="Sakkal Majalla"/>
              </w:rPr>
              <w:t>.</w:t>
            </w:r>
            <w:r>
              <w:rPr>
                <w:rFonts w:ascii="Sakkal Majalla" w:hAnsi="Sakkal Majalla" w:cs="Sakkal Majalla" w:hint="cs"/>
                <w:rtl/>
              </w:rPr>
              <w:t xml:space="preserve"> يركز هذا الجزء من الحصة </w:t>
            </w:r>
            <w:proofErr w:type="gramStart"/>
            <w:r>
              <w:rPr>
                <w:rFonts w:ascii="Sakkal Majalla" w:hAnsi="Sakkal Majalla" w:cs="Sakkal Majalla" w:hint="cs"/>
                <w:rtl/>
              </w:rPr>
              <w:t>على</w:t>
            </w:r>
            <w:proofErr w:type="gramEnd"/>
            <w:r>
              <w:rPr>
                <w:rFonts w:ascii="Sakkal Majalla" w:hAnsi="Sakkal Majalla" w:cs="Sakkal Majalla" w:hint="cs"/>
                <w:rtl/>
              </w:rPr>
              <w:t xml:space="preserve"> شرح الأسباب لممارسة سلطات إجرائية. وتشير الشفافات إلى دراسة الحالة في تمرين التحقيق بغية تقديم أمثلة عن الأسباب التي تجوز الإشارة إليها في الطلب وتعزيزها بشروحات.</w:t>
            </w:r>
          </w:p>
        </w:tc>
      </w:tr>
      <w:tr w:rsidR="006327E7" w:rsidRPr="006F1FAC" w14:paraId="513128C9" w14:textId="77777777" w:rsidTr="0081432C">
        <w:trPr>
          <w:trHeight w:val="1340"/>
        </w:trPr>
        <w:tc>
          <w:tcPr>
            <w:tcW w:w="1610" w:type="dxa"/>
            <w:vAlign w:val="center"/>
          </w:tcPr>
          <w:p w14:paraId="4445F277" w14:textId="77777777" w:rsidR="006327E7" w:rsidRPr="00BA049B" w:rsidRDefault="006327E7" w:rsidP="0081432C">
            <w:pPr>
              <w:bidi/>
              <w:jc w:val="center"/>
              <w:rPr>
                <w:rFonts w:ascii="Sakkal Majalla" w:hAnsi="Sakkal Majalla" w:cs="Sakkal Majalla"/>
              </w:rPr>
            </w:pPr>
            <w:r w:rsidRPr="00BA049B">
              <w:rPr>
                <w:rFonts w:ascii="Sakkal Majalla" w:hAnsi="Sakkal Majalla" w:cs="Sakkal Majalla"/>
              </w:rPr>
              <w:t xml:space="preserve">67 </w:t>
            </w:r>
            <w:r>
              <w:rPr>
                <w:rFonts w:ascii="Sakkal Majalla" w:hAnsi="Sakkal Majalla" w:cs="Sakkal Majalla" w:hint="cs"/>
                <w:rtl/>
              </w:rPr>
              <w:t xml:space="preserve"> إلى </w:t>
            </w:r>
            <w:r w:rsidRPr="00BA049B">
              <w:rPr>
                <w:rFonts w:ascii="Sakkal Majalla" w:hAnsi="Sakkal Majalla" w:cs="Sakkal Majalla"/>
              </w:rPr>
              <w:t xml:space="preserve"> 77</w:t>
            </w:r>
          </w:p>
        </w:tc>
        <w:tc>
          <w:tcPr>
            <w:tcW w:w="6884" w:type="dxa"/>
            <w:gridSpan w:val="2"/>
            <w:vAlign w:val="center"/>
          </w:tcPr>
          <w:p w14:paraId="4A73A296" w14:textId="77777777" w:rsidR="006327E7" w:rsidRPr="00BA049B" w:rsidRDefault="006327E7" w:rsidP="006327E7">
            <w:pPr>
              <w:bidi/>
              <w:spacing w:before="120" w:after="120"/>
              <w:jc w:val="both"/>
              <w:rPr>
                <w:rFonts w:ascii="Sakkal Majalla" w:hAnsi="Sakkal Majalla" w:cs="Sakkal Majalla"/>
              </w:rPr>
            </w:pPr>
            <w:r>
              <w:rPr>
                <w:rFonts w:ascii="Sakkal Majalla" w:hAnsi="Sakkal Majalla" w:cs="Sakkal Majalla" w:hint="cs"/>
                <w:rtl/>
              </w:rPr>
              <w:t xml:space="preserve">تفسر هذه </w:t>
            </w:r>
            <w:proofErr w:type="gramStart"/>
            <w:r>
              <w:rPr>
                <w:rFonts w:ascii="Sakkal Majalla" w:hAnsi="Sakkal Majalla" w:cs="Sakkal Majalla" w:hint="cs"/>
                <w:rtl/>
              </w:rPr>
              <w:t>الشفافات</w:t>
            </w:r>
            <w:proofErr w:type="gramEnd"/>
            <w:r>
              <w:rPr>
                <w:rFonts w:ascii="Sakkal Majalla" w:hAnsi="Sakkal Majalla" w:cs="Sakkal Majalla" w:hint="cs"/>
                <w:rtl/>
              </w:rPr>
              <w:t xml:space="preserve"> بعض الشكليات للطلبات الكتابية في ولايات قضائية مختلفة. قد يحتاج المدرب إلى ملاءمة هذه الشفافات </w:t>
            </w:r>
            <w:proofErr w:type="gramStart"/>
            <w:r>
              <w:rPr>
                <w:rFonts w:ascii="Sakkal Majalla" w:hAnsi="Sakkal Majalla" w:cs="Sakkal Majalla" w:hint="cs"/>
                <w:rtl/>
              </w:rPr>
              <w:t>حتى</w:t>
            </w:r>
            <w:proofErr w:type="gramEnd"/>
            <w:r>
              <w:rPr>
                <w:rFonts w:ascii="Sakkal Majalla" w:hAnsi="Sakkal Majalla" w:cs="Sakkal Majalla" w:hint="cs"/>
                <w:rtl/>
              </w:rPr>
              <w:t xml:space="preserve"> تتماشى مع الشروط والمتطلبات المحلية.</w:t>
            </w:r>
          </w:p>
        </w:tc>
      </w:tr>
      <w:tr w:rsidR="006327E7" w:rsidRPr="006F1FAC" w14:paraId="10555C42" w14:textId="77777777" w:rsidTr="0081432C">
        <w:trPr>
          <w:trHeight w:val="1340"/>
        </w:trPr>
        <w:tc>
          <w:tcPr>
            <w:tcW w:w="1610" w:type="dxa"/>
            <w:vAlign w:val="center"/>
          </w:tcPr>
          <w:p w14:paraId="65F68E1E" w14:textId="77777777" w:rsidR="006327E7" w:rsidRPr="00BA049B" w:rsidRDefault="006327E7" w:rsidP="0081432C">
            <w:pPr>
              <w:bidi/>
              <w:jc w:val="center"/>
              <w:rPr>
                <w:rFonts w:ascii="Sakkal Majalla" w:hAnsi="Sakkal Majalla" w:cs="Sakkal Majalla"/>
              </w:rPr>
            </w:pPr>
            <w:r w:rsidRPr="00BA049B">
              <w:rPr>
                <w:rFonts w:ascii="Sakkal Majalla" w:hAnsi="Sakkal Majalla" w:cs="Sakkal Majalla"/>
              </w:rPr>
              <w:t xml:space="preserve">78 </w:t>
            </w:r>
            <w:r>
              <w:rPr>
                <w:rFonts w:ascii="Sakkal Majalla" w:hAnsi="Sakkal Majalla" w:cs="Sakkal Majalla" w:hint="cs"/>
                <w:rtl/>
              </w:rPr>
              <w:t xml:space="preserve"> إلى </w:t>
            </w:r>
            <w:r w:rsidRPr="00BA049B">
              <w:rPr>
                <w:rFonts w:ascii="Sakkal Majalla" w:hAnsi="Sakkal Majalla" w:cs="Sakkal Majalla"/>
              </w:rPr>
              <w:t xml:space="preserve"> 80</w:t>
            </w:r>
          </w:p>
        </w:tc>
        <w:tc>
          <w:tcPr>
            <w:tcW w:w="6884" w:type="dxa"/>
            <w:gridSpan w:val="2"/>
            <w:vAlign w:val="center"/>
          </w:tcPr>
          <w:p w14:paraId="3EB712B4" w14:textId="77777777" w:rsidR="006327E7" w:rsidRPr="001D3747" w:rsidRDefault="006327E7" w:rsidP="006327E7">
            <w:pPr>
              <w:bidi/>
              <w:spacing w:before="120" w:after="120"/>
              <w:jc w:val="both"/>
              <w:rPr>
                <w:rFonts w:ascii="Sakkal Majalla" w:hAnsi="Sakkal Majalla" w:cs="Sakkal Majalla"/>
              </w:rPr>
            </w:pPr>
            <w:r>
              <w:rPr>
                <w:rFonts w:ascii="Sakkal Majalla" w:hAnsi="Sakkal Majalla" w:cs="Sakkal Majalla" w:hint="cs"/>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ذات الصلة بالمواد التي تطرقت إليها هذه الحصة.</w:t>
            </w:r>
          </w:p>
        </w:tc>
      </w:tr>
      <w:tr w:rsidR="006327E7" w:rsidRPr="006F1FAC" w14:paraId="496F131E" w14:textId="77777777" w:rsidTr="0081432C">
        <w:trPr>
          <w:trHeight w:val="1412"/>
        </w:trPr>
        <w:tc>
          <w:tcPr>
            <w:tcW w:w="8494" w:type="dxa"/>
            <w:gridSpan w:val="3"/>
            <w:vAlign w:val="center"/>
          </w:tcPr>
          <w:p w14:paraId="35C113CA" w14:textId="77777777" w:rsidR="006327E7" w:rsidRPr="006D47A0" w:rsidRDefault="006327E7" w:rsidP="0081432C">
            <w:pPr>
              <w:bidi/>
              <w:spacing w:before="120" w:after="120"/>
              <w:rPr>
                <w:rFonts w:ascii="Sakkal Majalla" w:hAnsi="Sakkal Majalla" w:cs="Sakkal Majalla"/>
                <w:b/>
                <w:bCs/>
                <w:lang w:bidi="ar-SY"/>
              </w:rPr>
            </w:pPr>
            <w:proofErr w:type="gramStart"/>
            <w:r w:rsidRPr="006D47A0">
              <w:rPr>
                <w:rFonts w:ascii="Sakkal Majalla" w:hAnsi="Sakkal Majalla" w:cs="Sakkal Majalla"/>
                <w:b/>
                <w:bCs/>
                <w:rtl/>
                <w:lang w:bidi="ar-SY"/>
              </w:rPr>
              <w:t>تمارين</w:t>
            </w:r>
            <w:proofErr w:type="gramEnd"/>
            <w:r w:rsidRPr="006D47A0">
              <w:rPr>
                <w:rFonts w:ascii="Sakkal Majalla" w:hAnsi="Sakkal Majalla" w:cs="Sakkal Majalla"/>
                <w:b/>
                <w:bCs/>
                <w:rtl/>
                <w:lang w:bidi="ar-SY"/>
              </w:rPr>
              <w:t xml:space="preserve"> تطبيقية </w:t>
            </w:r>
          </w:p>
          <w:p w14:paraId="4B20EE9E" w14:textId="77777777" w:rsidR="006327E7" w:rsidRPr="006F1FAC" w:rsidRDefault="006327E7" w:rsidP="0081432C">
            <w:pPr>
              <w:bidi/>
              <w:spacing w:before="120" w:after="120" w:line="280" w:lineRule="exact"/>
              <w:rPr>
                <w:rFonts w:ascii="Sakkal Majalla" w:hAnsi="Sakkal Majalla" w:cs="Sakkal Majalla"/>
                <w:szCs w:val="18"/>
              </w:rPr>
            </w:pPr>
            <w:r>
              <w:rPr>
                <w:rFonts w:ascii="Sakkal Majalla" w:hAnsi="Sakkal Majalla" w:cs="Sakkal Majalla" w:hint="cs"/>
                <w:color w:val="000000" w:themeColor="text1"/>
                <w:rtl/>
                <w:lang w:bidi="ar-SY"/>
              </w:rPr>
              <w:t xml:space="preserve">لم </w:t>
            </w:r>
            <w:proofErr w:type="gramStart"/>
            <w:r>
              <w:rPr>
                <w:rFonts w:ascii="Sakkal Majalla" w:hAnsi="Sakkal Majalla" w:cs="Sakkal Majalla" w:hint="cs"/>
                <w:color w:val="000000" w:themeColor="text1"/>
                <w:rtl/>
                <w:lang w:bidi="ar-SY"/>
              </w:rPr>
              <w:t>تدرج</w:t>
            </w:r>
            <w:proofErr w:type="gramEnd"/>
            <w:r>
              <w:rPr>
                <w:rFonts w:ascii="Sakkal Majalla" w:hAnsi="Sakkal Majalla" w:cs="Sakkal Majalla" w:hint="cs"/>
                <w:color w:val="000000" w:themeColor="text1"/>
                <w:rtl/>
                <w:lang w:bidi="ar-SY"/>
              </w:rPr>
              <w:t xml:space="preserve"> أي تمارين تطبيقية في هذه الحصة.</w:t>
            </w:r>
          </w:p>
        </w:tc>
      </w:tr>
      <w:tr w:rsidR="006327E7" w:rsidRPr="006F1FAC" w14:paraId="53825100" w14:textId="77777777" w:rsidTr="0081432C">
        <w:tc>
          <w:tcPr>
            <w:tcW w:w="8494" w:type="dxa"/>
            <w:gridSpan w:val="3"/>
            <w:vAlign w:val="center"/>
          </w:tcPr>
          <w:p w14:paraId="453D3912" w14:textId="77777777" w:rsidR="006327E7" w:rsidRPr="006D47A0" w:rsidRDefault="006327E7" w:rsidP="0081432C">
            <w:pPr>
              <w:bidi/>
              <w:rPr>
                <w:rFonts w:ascii="Sakkal Majalla" w:hAnsi="Sakkal Majalla" w:cs="Sakkal Majalla"/>
                <w:b/>
                <w:bCs/>
                <w:lang w:bidi="ar-SY"/>
              </w:rPr>
            </w:pPr>
            <w:r>
              <w:rPr>
                <w:rFonts w:ascii="Sakkal Majalla" w:hAnsi="Sakkal Majalla" w:cs="Sakkal Majalla" w:hint="cs"/>
                <w:b/>
                <w:bCs/>
                <w:rtl/>
                <w:lang w:bidi="ar-SY"/>
              </w:rPr>
              <w:t>التقييم/</w:t>
            </w:r>
            <w:proofErr w:type="gramStart"/>
            <w:r w:rsidRPr="006D47A0">
              <w:rPr>
                <w:rFonts w:ascii="Sakkal Majalla" w:hAnsi="Sakkal Majalla" w:cs="Sakkal Majalla"/>
                <w:b/>
                <w:bCs/>
                <w:rtl/>
                <w:lang w:bidi="ar-SY"/>
              </w:rPr>
              <w:t>التحقق</w:t>
            </w:r>
            <w:proofErr w:type="gramEnd"/>
            <w:r w:rsidRPr="006D47A0">
              <w:rPr>
                <w:rFonts w:ascii="Sakkal Majalla" w:hAnsi="Sakkal Majalla" w:cs="Sakkal Majalla"/>
                <w:b/>
                <w:bCs/>
                <w:rtl/>
                <w:lang w:bidi="ar-SY"/>
              </w:rPr>
              <w:t xml:space="preserve"> من المعرفة</w:t>
            </w:r>
          </w:p>
          <w:p w14:paraId="58C332D7" w14:textId="77777777" w:rsidR="006327E7" w:rsidRPr="006F1FAC" w:rsidRDefault="006327E7" w:rsidP="0081432C">
            <w:pPr>
              <w:bidi/>
              <w:spacing w:before="120" w:after="120"/>
              <w:rPr>
                <w:rFonts w:ascii="Sakkal Majalla" w:hAnsi="Sakkal Majalla" w:cs="Sakkal Majalla"/>
                <w:szCs w:val="18"/>
              </w:rPr>
            </w:pPr>
            <w:proofErr w:type="gramStart"/>
            <w:r w:rsidRPr="006D47A0">
              <w:rPr>
                <w:rFonts w:ascii="Sakkal Majalla" w:hAnsi="Sakkal Majalla" w:cs="Sakkal Majalla"/>
                <w:color w:val="000000" w:themeColor="text1"/>
                <w:rtl/>
                <w:lang w:bidi="ar-SY"/>
              </w:rPr>
              <w:t>لم</w:t>
            </w:r>
            <w:proofErr w:type="gramEnd"/>
            <w:r w:rsidRPr="006D47A0">
              <w:rPr>
                <w:rFonts w:ascii="Sakkal Majalla" w:hAnsi="Sakkal Majalla" w:cs="Sakkal Majalla"/>
                <w:color w:val="000000" w:themeColor="text1"/>
                <w:rtl/>
                <w:lang w:bidi="ar-SY"/>
              </w:rPr>
              <w:t xml:space="preserve"> يتم إعداد أي </w:t>
            </w:r>
            <w:r>
              <w:rPr>
                <w:rFonts w:ascii="Sakkal Majalla" w:hAnsi="Sakkal Majalla" w:cs="Sakkal Majalla" w:hint="cs"/>
                <w:color w:val="000000" w:themeColor="text1"/>
                <w:rtl/>
                <w:lang w:bidi="ar-SY"/>
              </w:rPr>
              <w:t xml:space="preserve">تقييم رسمي لهذه الدورة التدريبية. ويشجع المدرب على التحقق من المعرفة والفهم عبر </w:t>
            </w:r>
            <w:proofErr w:type="gramStart"/>
            <w:r>
              <w:rPr>
                <w:rFonts w:ascii="Sakkal Majalla" w:hAnsi="Sakkal Majalla" w:cs="Sakkal Majalla" w:hint="cs"/>
                <w:color w:val="000000" w:themeColor="text1"/>
                <w:rtl/>
                <w:lang w:bidi="ar-SY"/>
              </w:rPr>
              <w:t>طرح</w:t>
            </w:r>
            <w:proofErr w:type="gramEnd"/>
            <w:r>
              <w:rPr>
                <w:rFonts w:ascii="Sakkal Majalla" w:hAnsi="Sakkal Majalla" w:cs="Sakkal Majalla" w:hint="cs"/>
                <w:color w:val="000000" w:themeColor="text1"/>
                <w:rtl/>
                <w:lang w:bidi="ar-SY"/>
              </w:rPr>
              <w:t xml:space="preserve"> أسئلة ذات الصلة طيلة الحصة.</w:t>
            </w:r>
          </w:p>
        </w:tc>
      </w:tr>
    </w:tbl>
    <w:p w14:paraId="15498912" w14:textId="77777777" w:rsidR="00D82C18" w:rsidRPr="003406F3" w:rsidRDefault="00D82C18">
      <w:pPr>
        <w:rPr>
          <w:rFonts w:ascii="Verdana" w:hAnsi="Verdana"/>
        </w:rPr>
      </w:pPr>
      <w:bookmarkStart w:id="0" w:name="_GoBack"/>
      <w:bookmarkEnd w:id="0"/>
    </w:p>
    <w:sectPr w:rsidR="00D82C18" w:rsidRPr="003406F3" w:rsidSect="009A04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CA1946"/>
    <w:multiLevelType w:val="hybridMultilevel"/>
    <w:tmpl w:val="714CD804"/>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5"/>
  </w:num>
  <w:num w:numId="6">
    <w:abstractNumId w:val="8"/>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509A6"/>
    <w:rsid w:val="000A2F21"/>
    <w:rsid w:val="00105DD4"/>
    <w:rsid w:val="00175ADE"/>
    <w:rsid w:val="00185B76"/>
    <w:rsid w:val="001B428D"/>
    <w:rsid w:val="001B5DAD"/>
    <w:rsid w:val="002131BC"/>
    <w:rsid w:val="00271010"/>
    <w:rsid w:val="0027512B"/>
    <w:rsid w:val="002F375E"/>
    <w:rsid w:val="0033609D"/>
    <w:rsid w:val="003406F3"/>
    <w:rsid w:val="0036129C"/>
    <w:rsid w:val="003630ED"/>
    <w:rsid w:val="00383CAC"/>
    <w:rsid w:val="003958A0"/>
    <w:rsid w:val="00397FEA"/>
    <w:rsid w:val="003E0EDB"/>
    <w:rsid w:val="003F2BCF"/>
    <w:rsid w:val="003F6045"/>
    <w:rsid w:val="004639E3"/>
    <w:rsid w:val="00491B86"/>
    <w:rsid w:val="0051122C"/>
    <w:rsid w:val="005154BF"/>
    <w:rsid w:val="005229DF"/>
    <w:rsid w:val="00534FB7"/>
    <w:rsid w:val="005703B7"/>
    <w:rsid w:val="00594B3F"/>
    <w:rsid w:val="005951B6"/>
    <w:rsid w:val="005A4E47"/>
    <w:rsid w:val="005B20C3"/>
    <w:rsid w:val="005F4B3C"/>
    <w:rsid w:val="006327E7"/>
    <w:rsid w:val="006B6864"/>
    <w:rsid w:val="006D7128"/>
    <w:rsid w:val="006F75E4"/>
    <w:rsid w:val="007169BB"/>
    <w:rsid w:val="00754C1A"/>
    <w:rsid w:val="00761BA4"/>
    <w:rsid w:val="00790848"/>
    <w:rsid w:val="0079197D"/>
    <w:rsid w:val="00795C47"/>
    <w:rsid w:val="007A1980"/>
    <w:rsid w:val="007B75A9"/>
    <w:rsid w:val="007C58CF"/>
    <w:rsid w:val="007F2601"/>
    <w:rsid w:val="00823B30"/>
    <w:rsid w:val="008E3FE7"/>
    <w:rsid w:val="009155CC"/>
    <w:rsid w:val="009277BD"/>
    <w:rsid w:val="0094072C"/>
    <w:rsid w:val="00965ADD"/>
    <w:rsid w:val="00973E84"/>
    <w:rsid w:val="009A0403"/>
    <w:rsid w:val="009A2F63"/>
    <w:rsid w:val="009E559A"/>
    <w:rsid w:val="00A00A58"/>
    <w:rsid w:val="00A03CF0"/>
    <w:rsid w:val="00A4110D"/>
    <w:rsid w:val="00A53D26"/>
    <w:rsid w:val="00A734A5"/>
    <w:rsid w:val="00A9431E"/>
    <w:rsid w:val="00AA4976"/>
    <w:rsid w:val="00AE39FA"/>
    <w:rsid w:val="00AF62EC"/>
    <w:rsid w:val="00B0240A"/>
    <w:rsid w:val="00B03741"/>
    <w:rsid w:val="00B4237D"/>
    <w:rsid w:val="00B468A3"/>
    <w:rsid w:val="00B569A5"/>
    <w:rsid w:val="00B71D66"/>
    <w:rsid w:val="00BD6890"/>
    <w:rsid w:val="00C541A2"/>
    <w:rsid w:val="00CB02C4"/>
    <w:rsid w:val="00CB3026"/>
    <w:rsid w:val="00CC5BAF"/>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6327E7"/>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6327E7"/>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586</Words>
  <Characters>3226</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3</cp:revision>
  <dcterms:created xsi:type="dcterms:W3CDTF">2018-07-23T21:23:00Z</dcterms:created>
  <dcterms:modified xsi:type="dcterms:W3CDTF">2018-08-04T00:50:00Z</dcterms:modified>
</cp:coreProperties>
</file>